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575" w:type="dxa"/>
        <w:jc w:val="center"/>
        <w:tblLayout w:type="autofit"/>
        <w:tblCellMar>
          <w:top w:w="0" w:type="dxa"/>
          <w:left w:w="108" w:type="dxa"/>
          <w:bottom w:w="0" w:type="dxa"/>
          <w:right w:w="108" w:type="dxa"/>
        </w:tblCellMar>
      </w:tblPr>
      <w:tblGrid>
        <w:gridCol w:w="568"/>
        <w:gridCol w:w="1627"/>
        <w:gridCol w:w="580"/>
        <w:gridCol w:w="5260"/>
        <w:gridCol w:w="5780"/>
        <w:gridCol w:w="760"/>
      </w:tblGrid>
      <w:tr w14:paraId="51F48D65">
        <w:tblPrEx>
          <w:tblCellMar>
            <w:top w:w="0" w:type="dxa"/>
            <w:left w:w="108" w:type="dxa"/>
            <w:bottom w:w="0" w:type="dxa"/>
            <w:right w:w="108" w:type="dxa"/>
          </w:tblCellMar>
        </w:tblPrEx>
        <w:trPr>
          <w:trHeight w:val="1224" w:hRule="atLeast"/>
          <w:jc w:val="center"/>
        </w:trPr>
        <w:tc>
          <w:tcPr>
            <w:tcW w:w="14575" w:type="dxa"/>
            <w:gridSpan w:val="6"/>
            <w:tcBorders>
              <w:top w:val="nil"/>
              <w:left w:val="nil"/>
              <w:bottom w:val="single" w:color="auto" w:sz="4" w:space="0"/>
              <w:right w:val="nil"/>
            </w:tcBorders>
            <w:noWrap/>
            <w:vAlign w:val="center"/>
          </w:tcPr>
          <w:p w14:paraId="10035767">
            <w:pPr>
              <w:widowControl/>
              <w:jc w:val="center"/>
              <w:rPr>
                <w:rFonts w:hint="eastAsia" w:ascii="方正小标宋简体" w:hAnsi="等线" w:eastAsia="方正小标宋简体" w:cs="宋体"/>
                <w:color w:val="000000"/>
                <w:kern w:val="0"/>
                <w:sz w:val="40"/>
                <w:szCs w:val="40"/>
              </w:rPr>
            </w:pPr>
            <w:bookmarkStart w:id="1" w:name="_GoBack"/>
            <w:bookmarkEnd w:id="1"/>
            <w:r>
              <w:rPr>
                <w:color w:val="000000"/>
              </w:rPr>
              <w:tab/>
            </w:r>
            <w:r>
              <w:rPr>
                <w:rFonts w:hint="eastAsia" w:ascii="方正小标宋简体" w:hAnsi="等线" w:eastAsia="方正小标宋简体" w:cs="宋体"/>
                <w:color w:val="000000"/>
                <w:kern w:val="0"/>
                <w:sz w:val="40"/>
                <w:szCs w:val="40"/>
              </w:rPr>
              <w:t>山东省</w:t>
            </w:r>
            <w:r>
              <w:rPr>
                <w:rFonts w:hint="eastAsia" w:ascii="方正小标宋简体" w:hAnsi="等线" w:eastAsia="方正小标宋简体" w:cs="宋体"/>
                <w:color w:val="000000"/>
                <w:kern w:val="0"/>
                <w:sz w:val="40"/>
                <w:szCs w:val="40"/>
                <w:lang w:val="en-US" w:eastAsia="zh-CN"/>
              </w:rPr>
              <w:t>新动能基金管理</w:t>
            </w:r>
            <w:r>
              <w:rPr>
                <w:rFonts w:hint="eastAsia" w:ascii="方正小标宋简体" w:hAnsi="等线" w:eastAsia="方正小标宋简体" w:cs="宋体"/>
                <w:color w:val="000000"/>
                <w:kern w:val="0"/>
                <w:sz w:val="40"/>
                <w:szCs w:val="40"/>
              </w:rPr>
              <w:t>有限公司</w:t>
            </w:r>
            <w:r>
              <w:rPr>
                <w:rFonts w:hint="eastAsia" w:ascii="方正小标宋简体" w:hAnsi="等线" w:eastAsia="方正小标宋简体" w:cs="宋体"/>
                <w:color w:val="000000"/>
                <w:kern w:val="0"/>
                <w:sz w:val="40"/>
                <w:szCs w:val="40"/>
                <w:lang w:val="en-US" w:eastAsia="zh-CN"/>
              </w:rPr>
              <w:t>2026年度校园</w:t>
            </w:r>
            <w:r>
              <w:rPr>
                <w:rFonts w:hint="eastAsia" w:ascii="方正小标宋简体" w:hAnsi="等线" w:eastAsia="方正小标宋简体" w:cs="宋体"/>
                <w:color w:val="000000"/>
                <w:kern w:val="0"/>
                <w:sz w:val="40"/>
                <w:szCs w:val="40"/>
              </w:rPr>
              <w:t>招聘岗位</w:t>
            </w:r>
            <w:r>
              <w:rPr>
                <w:rFonts w:hint="eastAsia" w:ascii="方正小标宋简体" w:hAnsi="等线" w:eastAsia="方正小标宋简体" w:cs="宋体"/>
                <w:color w:val="000000"/>
                <w:kern w:val="0"/>
                <w:sz w:val="40"/>
                <w:szCs w:val="40"/>
                <w:lang w:val="en-US" w:eastAsia="zh-CN"/>
              </w:rPr>
              <w:t>需求</w:t>
            </w:r>
            <w:r>
              <w:rPr>
                <w:rFonts w:hint="eastAsia" w:ascii="方正小标宋简体" w:hAnsi="等线" w:eastAsia="方正小标宋简体" w:cs="宋体"/>
                <w:color w:val="000000"/>
                <w:kern w:val="0"/>
                <w:sz w:val="40"/>
                <w:szCs w:val="40"/>
              </w:rPr>
              <w:t>表</w:t>
            </w:r>
          </w:p>
        </w:tc>
      </w:tr>
      <w:tr w14:paraId="0FFD27F2">
        <w:tblPrEx>
          <w:tblCellMar>
            <w:top w:w="0" w:type="dxa"/>
            <w:left w:w="108" w:type="dxa"/>
            <w:bottom w:w="0" w:type="dxa"/>
            <w:right w:w="108" w:type="dxa"/>
          </w:tblCellMar>
        </w:tblPrEx>
        <w:trPr>
          <w:trHeight w:val="737" w:hRule="atLeast"/>
          <w:jc w:val="center"/>
        </w:trPr>
        <w:tc>
          <w:tcPr>
            <w:tcW w:w="568" w:type="dxa"/>
            <w:tcBorders>
              <w:top w:val="nil"/>
              <w:left w:val="single" w:color="auto" w:sz="4" w:space="0"/>
              <w:bottom w:val="single" w:color="auto" w:sz="4" w:space="0"/>
              <w:right w:val="single" w:color="auto" w:sz="4" w:space="0"/>
            </w:tcBorders>
            <w:noWrap w:val="0"/>
            <w:vAlign w:val="center"/>
          </w:tcPr>
          <w:p w14:paraId="6CDC5F28">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序号</w:t>
            </w:r>
          </w:p>
        </w:tc>
        <w:tc>
          <w:tcPr>
            <w:tcW w:w="1627" w:type="dxa"/>
            <w:tcBorders>
              <w:top w:val="nil"/>
              <w:left w:val="nil"/>
              <w:bottom w:val="single" w:color="auto" w:sz="4" w:space="0"/>
              <w:right w:val="single" w:color="auto" w:sz="4" w:space="0"/>
            </w:tcBorders>
            <w:noWrap w:val="0"/>
            <w:vAlign w:val="center"/>
          </w:tcPr>
          <w:p w14:paraId="2855753B">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招聘岗位</w:t>
            </w:r>
          </w:p>
        </w:tc>
        <w:tc>
          <w:tcPr>
            <w:tcW w:w="580" w:type="dxa"/>
            <w:tcBorders>
              <w:top w:val="nil"/>
              <w:left w:val="nil"/>
              <w:bottom w:val="single" w:color="auto" w:sz="4" w:space="0"/>
              <w:right w:val="single" w:color="auto" w:sz="4" w:space="0"/>
            </w:tcBorders>
            <w:noWrap w:val="0"/>
            <w:vAlign w:val="center"/>
          </w:tcPr>
          <w:p w14:paraId="11EA5224">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人数</w:t>
            </w:r>
          </w:p>
        </w:tc>
        <w:tc>
          <w:tcPr>
            <w:tcW w:w="5260" w:type="dxa"/>
            <w:tcBorders>
              <w:top w:val="nil"/>
              <w:left w:val="nil"/>
              <w:bottom w:val="single" w:color="auto" w:sz="4" w:space="0"/>
              <w:right w:val="single" w:color="auto" w:sz="4" w:space="0"/>
            </w:tcBorders>
            <w:noWrap w:val="0"/>
            <w:vAlign w:val="center"/>
          </w:tcPr>
          <w:p w14:paraId="2E109832">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岗位职责</w:t>
            </w:r>
          </w:p>
        </w:tc>
        <w:tc>
          <w:tcPr>
            <w:tcW w:w="5780" w:type="dxa"/>
            <w:tcBorders>
              <w:top w:val="nil"/>
              <w:left w:val="nil"/>
              <w:bottom w:val="single" w:color="auto" w:sz="4" w:space="0"/>
              <w:right w:val="single" w:color="auto" w:sz="4" w:space="0"/>
            </w:tcBorders>
            <w:noWrap w:val="0"/>
            <w:vAlign w:val="center"/>
          </w:tcPr>
          <w:p w14:paraId="6D72ADD9">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资格条件</w:t>
            </w:r>
          </w:p>
        </w:tc>
        <w:tc>
          <w:tcPr>
            <w:tcW w:w="760" w:type="dxa"/>
            <w:tcBorders>
              <w:top w:val="nil"/>
              <w:left w:val="nil"/>
              <w:bottom w:val="single" w:color="auto" w:sz="4" w:space="0"/>
              <w:right w:val="single" w:color="auto" w:sz="4" w:space="0"/>
            </w:tcBorders>
            <w:noWrap w:val="0"/>
            <w:vAlign w:val="center"/>
          </w:tcPr>
          <w:p w14:paraId="0692AE33">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工作</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地点</w:t>
            </w:r>
          </w:p>
        </w:tc>
      </w:tr>
      <w:tr w14:paraId="08FB049A">
        <w:tblPrEx>
          <w:tblCellMar>
            <w:top w:w="0" w:type="dxa"/>
            <w:left w:w="108" w:type="dxa"/>
            <w:bottom w:w="0" w:type="dxa"/>
            <w:right w:w="108" w:type="dxa"/>
          </w:tblCellMar>
        </w:tblPrEx>
        <w:trPr>
          <w:trHeight w:val="878" w:hRule="atLeast"/>
          <w:jc w:val="center"/>
        </w:trPr>
        <w:tc>
          <w:tcPr>
            <w:tcW w:w="14575" w:type="dxa"/>
            <w:gridSpan w:val="6"/>
            <w:tcBorders>
              <w:top w:val="single" w:color="auto" w:sz="4" w:space="0"/>
              <w:left w:val="single" w:color="auto" w:sz="4" w:space="0"/>
              <w:bottom w:val="single" w:color="auto" w:sz="4" w:space="0"/>
              <w:right w:val="single" w:color="000000" w:sz="4" w:space="0"/>
            </w:tcBorders>
            <w:noWrap w:val="0"/>
            <w:vAlign w:val="center"/>
          </w:tcPr>
          <w:p w14:paraId="5581F242">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xml:space="preserve">    山东省新动能投资管理有限公司</w:t>
            </w:r>
            <w:r>
              <w:rPr>
                <w:rFonts w:hint="eastAsia" w:ascii="黑体" w:hAnsi="黑体" w:eastAsia="黑体" w:cs="宋体"/>
                <w:color w:val="000000"/>
                <w:kern w:val="0"/>
                <w:sz w:val="24"/>
                <w:lang w:val="en-US" w:eastAsia="zh-CN"/>
              </w:rPr>
              <w:t>是山东省新动能基金管理有限公司权属二级公司，</w:t>
            </w:r>
            <w:r>
              <w:rPr>
                <w:rFonts w:hint="eastAsia" w:ascii="黑体" w:hAnsi="黑体" w:eastAsia="黑体" w:cs="宋体"/>
                <w:color w:val="000000"/>
                <w:kern w:val="0"/>
                <w:sz w:val="24"/>
              </w:rPr>
              <w:t>主要负责政府引导基金中产业投资类基金管理运作；存量债权类业务投后管理等业务。</w:t>
            </w:r>
          </w:p>
        </w:tc>
      </w:tr>
      <w:tr w14:paraId="48A8200B">
        <w:tblPrEx>
          <w:tblCellMar>
            <w:top w:w="0" w:type="dxa"/>
            <w:left w:w="108" w:type="dxa"/>
            <w:bottom w:w="0" w:type="dxa"/>
            <w:right w:w="108" w:type="dxa"/>
          </w:tblCellMar>
        </w:tblPrEx>
        <w:trPr>
          <w:trHeight w:val="1929" w:hRule="atLeast"/>
          <w:jc w:val="center"/>
        </w:trPr>
        <w:tc>
          <w:tcPr>
            <w:tcW w:w="568" w:type="dxa"/>
            <w:tcBorders>
              <w:top w:val="nil"/>
              <w:left w:val="single" w:color="auto" w:sz="4" w:space="0"/>
              <w:bottom w:val="single" w:color="auto" w:sz="4" w:space="0"/>
              <w:right w:val="single" w:color="auto" w:sz="4" w:space="0"/>
            </w:tcBorders>
            <w:noWrap w:val="0"/>
            <w:vAlign w:val="center"/>
          </w:tcPr>
          <w:p w14:paraId="49F1959A">
            <w:pPr>
              <w:widowControl/>
              <w:jc w:val="center"/>
              <w:rPr>
                <w:rFonts w:hint="eastAsia" w:ascii="仿宋_GB2312" w:hAnsi="等线" w:eastAsia="仿宋_GB2312" w:cs="宋体"/>
                <w:color w:val="000000"/>
                <w:kern w:val="0"/>
                <w:sz w:val="24"/>
              </w:rPr>
            </w:pPr>
            <w:bookmarkStart w:id="0" w:name="_Hlk222929078"/>
            <w:r>
              <w:rPr>
                <w:rFonts w:hint="eastAsia" w:ascii="仿宋_GB2312" w:hAnsi="等线" w:eastAsia="仿宋_GB2312" w:cs="宋体"/>
                <w:color w:val="000000"/>
                <w:kern w:val="0"/>
                <w:sz w:val="24"/>
              </w:rPr>
              <w:t>1</w:t>
            </w:r>
          </w:p>
        </w:tc>
        <w:tc>
          <w:tcPr>
            <w:tcW w:w="1627" w:type="dxa"/>
            <w:tcBorders>
              <w:top w:val="nil"/>
              <w:left w:val="nil"/>
              <w:bottom w:val="single" w:color="auto" w:sz="4" w:space="0"/>
              <w:right w:val="single" w:color="auto" w:sz="4" w:space="0"/>
            </w:tcBorders>
            <w:noWrap w:val="0"/>
            <w:vAlign w:val="center"/>
          </w:tcPr>
          <w:p w14:paraId="0E706C7B">
            <w:pPr>
              <w:widowControl/>
              <w:jc w:val="center"/>
              <w:rPr>
                <w:rFonts w:hint="default"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基金投资岗</w:t>
            </w:r>
          </w:p>
        </w:tc>
        <w:tc>
          <w:tcPr>
            <w:tcW w:w="580" w:type="dxa"/>
            <w:tcBorders>
              <w:top w:val="nil"/>
              <w:left w:val="nil"/>
              <w:bottom w:val="single" w:color="auto" w:sz="4" w:space="0"/>
              <w:right w:val="single" w:color="auto" w:sz="4" w:space="0"/>
            </w:tcBorders>
            <w:noWrap w:val="0"/>
            <w:vAlign w:val="center"/>
          </w:tcPr>
          <w:p w14:paraId="7FEAAAD0">
            <w:pPr>
              <w:widowControl/>
              <w:jc w:val="center"/>
              <w:rPr>
                <w:rFonts w:hint="eastAsia"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2</w:t>
            </w:r>
          </w:p>
        </w:tc>
        <w:tc>
          <w:tcPr>
            <w:tcW w:w="5260" w:type="dxa"/>
            <w:tcBorders>
              <w:top w:val="nil"/>
              <w:left w:val="nil"/>
              <w:bottom w:val="single" w:color="auto" w:sz="4" w:space="0"/>
              <w:right w:val="single" w:color="auto" w:sz="4" w:space="0"/>
            </w:tcBorders>
            <w:noWrap w:val="0"/>
            <w:vAlign w:val="center"/>
          </w:tcPr>
          <w:p w14:paraId="13ABFF13">
            <w:pPr>
              <w:widowControl/>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主要负责产业子基金及市场化固收+业务的投资与管理工作，具体包括行业研究、基金及项目投资架构设计、尽职调查，起草相关文件及投后管理等工作。</w:t>
            </w:r>
          </w:p>
        </w:tc>
        <w:tc>
          <w:tcPr>
            <w:tcW w:w="5780" w:type="dxa"/>
            <w:tcBorders>
              <w:top w:val="nil"/>
              <w:left w:val="nil"/>
              <w:bottom w:val="single" w:color="auto" w:sz="4" w:space="0"/>
              <w:right w:val="single" w:color="auto" w:sz="4" w:space="0"/>
            </w:tcBorders>
            <w:noWrap w:val="0"/>
            <w:vAlign w:val="center"/>
          </w:tcPr>
          <w:p w14:paraId="39AA8211">
            <w:pPr>
              <w:widowControl/>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w:t>
            </w:r>
            <w:r>
              <w:rPr>
                <w:rFonts w:hint="eastAsia" w:ascii="仿宋_GB2312" w:hAnsi="等线" w:eastAsia="仿宋_GB2312" w:cs="宋体"/>
                <w:color w:val="000000"/>
                <w:kern w:val="0"/>
                <w:sz w:val="24"/>
                <w:lang w:val="en-US" w:eastAsia="zh-CN"/>
              </w:rPr>
              <w:t>30</w:t>
            </w:r>
            <w:r>
              <w:rPr>
                <w:rFonts w:hint="eastAsia" w:ascii="仿宋_GB2312" w:hAnsi="等线" w:eastAsia="仿宋_GB2312" w:cs="宋体"/>
                <w:color w:val="000000"/>
                <w:kern w:val="0"/>
                <w:sz w:val="24"/>
              </w:rPr>
              <w:t>周岁及以下，硕士研究生及以上学历，</w:t>
            </w:r>
            <w:r>
              <w:rPr>
                <w:rFonts w:hint="eastAsia" w:ascii="仿宋_GB2312" w:hAnsi="等线" w:eastAsia="仿宋_GB2312" w:cs="宋体"/>
                <w:color w:val="000000"/>
                <w:kern w:val="0"/>
                <w:sz w:val="24"/>
                <w:lang w:val="en-US" w:eastAsia="zh-CN"/>
              </w:rPr>
              <w:t>材料科学与工程、信息与通信工程、控制科学与工程、计算机科学与技术、航空宇航科学与技术、生物与医药、集成电路科学与工程</w:t>
            </w:r>
            <w:r>
              <w:rPr>
                <w:rFonts w:hint="eastAsia" w:ascii="仿宋_GB2312" w:hAnsi="等线" w:eastAsia="仿宋_GB2312" w:cs="宋体"/>
                <w:color w:val="000000"/>
                <w:kern w:val="0"/>
                <w:sz w:val="24"/>
              </w:rPr>
              <w:t>等</w:t>
            </w:r>
            <w:r>
              <w:rPr>
                <w:rFonts w:hint="eastAsia" w:ascii="仿宋_GB2312" w:hAnsi="等线" w:eastAsia="仿宋_GB2312" w:cs="宋体"/>
                <w:color w:val="000000"/>
                <w:kern w:val="0"/>
                <w:sz w:val="24"/>
                <w:lang w:val="en-US" w:eastAsia="zh-CN"/>
              </w:rPr>
              <w:t>工学</w:t>
            </w:r>
            <w:r>
              <w:rPr>
                <w:rFonts w:hint="eastAsia" w:ascii="仿宋_GB2312" w:hAnsi="等线" w:eastAsia="仿宋_GB2312" w:cs="宋体"/>
                <w:color w:val="000000"/>
                <w:kern w:val="0"/>
                <w:sz w:val="24"/>
              </w:rPr>
              <w:t>类相关专业。</w:t>
            </w:r>
          </w:p>
          <w:p w14:paraId="71C51CC2">
            <w:pPr>
              <w:widowControl/>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2.2026年应届毕业生（含择业期内毕业生）。</w:t>
            </w:r>
          </w:p>
          <w:p w14:paraId="1B386AC7">
            <w:pPr>
              <w:widowControl/>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3.具有良好的职业操守，担当实干，团结合作意识和奉献精神强。</w:t>
            </w:r>
          </w:p>
        </w:tc>
        <w:tc>
          <w:tcPr>
            <w:tcW w:w="760" w:type="dxa"/>
            <w:tcBorders>
              <w:top w:val="nil"/>
              <w:left w:val="nil"/>
              <w:bottom w:val="single" w:color="auto" w:sz="4" w:space="0"/>
              <w:right w:val="single" w:color="auto" w:sz="4" w:space="0"/>
            </w:tcBorders>
            <w:noWrap/>
            <w:vAlign w:val="center"/>
          </w:tcPr>
          <w:p w14:paraId="4B917698">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济南</w:t>
            </w:r>
          </w:p>
        </w:tc>
      </w:tr>
      <w:bookmarkEnd w:id="0"/>
      <w:tr w14:paraId="45E579C0">
        <w:tblPrEx>
          <w:tblCellMar>
            <w:top w:w="0" w:type="dxa"/>
            <w:left w:w="108" w:type="dxa"/>
            <w:bottom w:w="0" w:type="dxa"/>
            <w:right w:w="108" w:type="dxa"/>
          </w:tblCellMar>
        </w:tblPrEx>
        <w:trPr>
          <w:trHeight w:val="792" w:hRule="atLeast"/>
          <w:jc w:val="center"/>
        </w:trPr>
        <w:tc>
          <w:tcPr>
            <w:tcW w:w="14575" w:type="dxa"/>
            <w:gridSpan w:val="6"/>
            <w:tcBorders>
              <w:top w:val="single" w:color="auto" w:sz="4" w:space="0"/>
              <w:left w:val="single" w:color="auto" w:sz="4" w:space="0"/>
              <w:bottom w:val="single" w:color="auto" w:sz="4" w:space="0"/>
              <w:right w:val="single" w:color="auto" w:sz="4" w:space="0"/>
            </w:tcBorders>
            <w:noWrap w:val="0"/>
            <w:vAlign w:val="center"/>
          </w:tcPr>
          <w:p w14:paraId="3992682D">
            <w:pPr>
              <w:widowControl/>
              <w:ind w:firstLine="480" w:firstLineChars="200"/>
              <w:rPr>
                <w:rFonts w:hint="eastAsia" w:ascii="仿宋_GB2312" w:hAnsi="等线" w:cs="宋体"/>
                <w:color w:val="000000"/>
                <w:kern w:val="0"/>
                <w:sz w:val="24"/>
              </w:rPr>
            </w:pPr>
            <w:r>
              <w:rPr>
                <w:rFonts w:hint="eastAsia" w:ascii="黑体" w:hAnsi="黑体" w:eastAsia="黑体" w:cs="宋体"/>
                <w:color w:val="000000"/>
                <w:kern w:val="0"/>
                <w:sz w:val="24"/>
              </w:rPr>
              <w:t>山东省新动能资本管理有限公司</w:t>
            </w:r>
            <w:r>
              <w:rPr>
                <w:rFonts w:hint="eastAsia" w:ascii="黑体" w:hAnsi="黑体" w:eastAsia="黑体" w:cs="宋体"/>
                <w:color w:val="000000"/>
                <w:kern w:val="0"/>
                <w:sz w:val="24"/>
                <w:lang w:val="en-US" w:eastAsia="zh-CN"/>
              </w:rPr>
              <w:t>是山东省新动能基金管理有限公司权属二级公司，</w:t>
            </w:r>
            <w:r>
              <w:rPr>
                <w:rFonts w:hint="eastAsia" w:ascii="黑体" w:hAnsi="黑体" w:eastAsia="黑体" w:cs="宋体"/>
                <w:color w:val="000000"/>
                <w:kern w:val="0"/>
                <w:sz w:val="24"/>
              </w:rPr>
              <w:t>主要负责受托管理运作省级绿色低碳高质量发展先行区建设重大专项引导基金、省重点帮扶县专项产业基金；财务性股权投资管理等业务</w:t>
            </w:r>
            <w:r>
              <w:rPr>
                <w:rFonts w:hint="eastAsia" w:ascii="黑体" w:hAnsi="黑体" w:eastAsia="黑体" w:cs="宋体"/>
                <w:color w:val="000000"/>
                <w:kern w:val="0"/>
                <w:sz w:val="24"/>
                <w:szCs w:val="22"/>
              </w:rPr>
              <w:t>。</w:t>
            </w:r>
          </w:p>
        </w:tc>
      </w:tr>
      <w:tr w14:paraId="791D6117">
        <w:tblPrEx>
          <w:tblCellMar>
            <w:top w:w="0" w:type="dxa"/>
            <w:left w:w="108" w:type="dxa"/>
            <w:bottom w:w="0" w:type="dxa"/>
            <w:right w:w="108" w:type="dxa"/>
          </w:tblCellMar>
        </w:tblPrEx>
        <w:trPr>
          <w:trHeight w:val="2028"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5487BA43">
            <w:pPr>
              <w:widowControl/>
              <w:jc w:val="center"/>
              <w:rPr>
                <w:rFonts w:hint="eastAsia"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2</w:t>
            </w:r>
          </w:p>
        </w:tc>
        <w:tc>
          <w:tcPr>
            <w:tcW w:w="1627" w:type="dxa"/>
            <w:tcBorders>
              <w:top w:val="single" w:color="auto" w:sz="4" w:space="0"/>
              <w:left w:val="nil"/>
              <w:bottom w:val="single" w:color="auto" w:sz="4" w:space="0"/>
              <w:right w:val="single" w:color="auto" w:sz="4" w:space="0"/>
            </w:tcBorders>
            <w:noWrap w:val="0"/>
            <w:vAlign w:val="center"/>
          </w:tcPr>
          <w:p w14:paraId="330590D1">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lang w:val="en-US" w:eastAsia="zh-CN"/>
              </w:rPr>
              <w:t>基金投资</w:t>
            </w:r>
            <w:r>
              <w:rPr>
                <w:rFonts w:hint="eastAsia" w:ascii="仿宋_GB2312" w:hAnsi="等线" w:eastAsia="仿宋_GB2312" w:cs="宋体"/>
                <w:color w:val="000000"/>
                <w:kern w:val="0"/>
                <w:sz w:val="24"/>
              </w:rPr>
              <w:t>岗</w:t>
            </w:r>
          </w:p>
        </w:tc>
        <w:tc>
          <w:tcPr>
            <w:tcW w:w="580" w:type="dxa"/>
            <w:tcBorders>
              <w:top w:val="single" w:color="auto" w:sz="4" w:space="0"/>
              <w:left w:val="nil"/>
              <w:bottom w:val="single" w:color="auto" w:sz="4" w:space="0"/>
              <w:right w:val="single" w:color="auto" w:sz="4" w:space="0"/>
            </w:tcBorders>
            <w:noWrap w:val="0"/>
            <w:vAlign w:val="center"/>
          </w:tcPr>
          <w:p w14:paraId="6CC3C5C6">
            <w:pPr>
              <w:widowControl/>
              <w:jc w:val="center"/>
              <w:rPr>
                <w:rFonts w:hint="eastAsia" w:ascii="仿宋_GB2312" w:hAnsi="等线" w:eastAsia="仿宋_GB2312" w:cs="宋体"/>
                <w:color w:val="000000"/>
                <w:kern w:val="0"/>
                <w:sz w:val="24"/>
                <w:lang w:eastAsia="zh-CN"/>
              </w:rPr>
            </w:pPr>
            <w:r>
              <w:rPr>
                <w:rFonts w:hint="eastAsia" w:ascii="仿宋_GB2312" w:hAnsi="等线" w:eastAsia="仿宋_GB2312" w:cs="宋体"/>
                <w:color w:val="000000"/>
                <w:kern w:val="0"/>
                <w:sz w:val="24"/>
                <w:lang w:val="en-US" w:eastAsia="zh-CN"/>
              </w:rPr>
              <w:t>3</w:t>
            </w:r>
          </w:p>
        </w:tc>
        <w:tc>
          <w:tcPr>
            <w:tcW w:w="5260" w:type="dxa"/>
            <w:tcBorders>
              <w:top w:val="single" w:color="auto" w:sz="4" w:space="0"/>
              <w:left w:val="nil"/>
              <w:bottom w:val="single" w:color="auto" w:sz="4" w:space="0"/>
              <w:right w:val="single" w:color="auto" w:sz="4" w:space="0"/>
            </w:tcBorders>
            <w:noWrap w:val="0"/>
            <w:vAlign w:val="center"/>
          </w:tcPr>
          <w:p w14:paraId="39622A87">
            <w:pPr>
              <w:widowControl/>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szCs w:val="22"/>
              </w:rPr>
              <w:t>主要负责行业研究和基金设立、项目投资工作，具体包括参与尽职调查，起草投资建议书，设计交易结构、投资条款，开展商务谈判、投后管理等相关工作。</w:t>
            </w:r>
          </w:p>
        </w:tc>
        <w:tc>
          <w:tcPr>
            <w:tcW w:w="5780" w:type="dxa"/>
            <w:tcBorders>
              <w:top w:val="single" w:color="auto" w:sz="4" w:space="0"/>
              <w:left w:val="nil"/>
              <w:bottom w:val="single" w:color="auto" w:sz="4" w:space="0"/>
              <w:right w:val="single" w:color="auto" w:sz="4" w:space="0"/>
            </w:tcBorders>
            <w:noWrap w:val="0"/>
            <w:vAlign w:val="center"/>
          </w:tcPr>
          <w:p w14:paraId="4B754AB6">
            <w:pPr>
              <w:widowControl/>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w:t>
            </w:r>
            <w:r>
              <w:rPr>
                <w:rFonts w:hint="eastAsia" w:ascii="仿宋_GB2312" w:hAnsi="等线" w:eastAsia="仿宋_GB2312" w:cs="宋体"/>
                <w:color w:val="000000"/>
                <w:kern w:val="0"/>
                <w:sz w:val="24"/>
                <w:lang w:val="en-US" w:eastAsia="zh-CN"/>
              </w:rPr>
              <w:t>30</w:t>
            </w:r>
            <w:r>
              <w:rPr>
                <w:rFonts w:hint="eastAsia" w:ascii="仿宋_GB2312" w:hAnsi="等线" w:eastAsia="仿宋_GB2312" w:cs="宋体"/>
                <w:color w:val="000000"/>
                <w:kern w:val="0"/>
                <w:sz w:val="24"/>
              </w:rPr>
              <w:t>周岁及以下，硕士研究生及以上学历，</w:t>
            </w:r>
            <w:r>
              <w:rPr>
                <w:rFonts w:hint="eastAsia" w:ascii="仿宋_GB2312" w:hAnsi="等线" w:eastAsia="仿宋_GB2312" w:cs="宋体"/>
                <w:color w:val="000000"/>
                <w:kern w:val="0"/>
                <w:sz w:val="24"/>
                <w:lang w:val="en-US" w:eastAsia="zh-CN"/>
              </w:rPr>
              <w:t>材料科学与工程、信息与通信工程、控制科学与工程、计算机科学与技术、航空宇航科学与技术、生物与医药、集成电路科学与工程</w:t>
            </w:r>
            <w:r>
              <w:rPr>
                <w:rFonts w:hint="eastAsia" w:ascii="仿宋_GB2312" w:hAnsi="等线" w:eastAsia="仿宋_GB2312" w:cs="宋体"/>
                <w:color w:val="000000"/>
                <w:kern w:val="0"/>
                <w:sz w:val="24"/>
              </w:rPr>
              <w:t>等</w:t>
            </w:r>
            <w:r>
              <w:rPr>
                <w:rFonts w:hint="eastAsia" w:ascii="仿宋_GB2312" w:hAnsi="等线" w:eastAsia="仿宋_GB2312" w:cs="宋体"/>
                <w:color w:val="000000"/>
                <w:kern w:val="0"/>
                <w:sz w:val="24"/>
                <w:lang w:val="en-US" w:eastAsia="zh-CN"/>
              </w:rPr>
              <w:t>工学</w:t>
            </w:r>
            <w:r>
              <w:rPr>
                <w:rFonts w:hint="eastAsia" w:ascii="仿宋_GB2312" w:hAnsi="等线" w:eastAsia="仿宋_GB2312" w:cs="宋体"/>
                <w:color w:val="000000"/>
                <w:kern w:val="0"/>
                <w:sz w:val="24"/>
              </w:rPr>
              <w:t>类相关专业。</w:t>
            </w:r>
          </w:p>
          <w:p w14:paraId="61E06C07">
            <w:pPr>
              <w:widowControl/>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2.2026年应届毕业生（含择业期内毕业生）。</w:t>
            </w:r>
          </w:p>
          <w:p w14:paraId="4AA3C113">
            <w:pPr>
              <w:widowControl/>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3.具有良好的职业操守，担当实干，团结合作意识和奉献精神强。</w:t>
            </w:r>
          </w:p>
        </w:tc>
        <w:tc>
          <w:tcPr>
            <w:tcW w:w="760" w:type="dxa"/>
            <w:tcBorders>
              <w:top w:val="single" w:color="auto" w:sz="4" w:space="0"/>
              <w:left w:val="nil"/>
              <w:bottom w:val="single" w:color="auto" w:sz="4" w:space="0"/>
              <w:right w:val="single" w:color="auto" w:sz="4" w:space="0"/>
            </w:tcBorders>
            <w:noWrap/>
            <w:vAlign w:val="center"/>
          </w:tcPr>
          <w:p w14:paraId="4C98AB23">
            <w:pPr>
              <w:widowControl/>
              <w:jc w:val="center"/>
              <w:rPr>
                <w:rFonts w:hint="eastAsia"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青岛</w:t>
            </w:r>
          </w:p>
        </w:tc>
      </w:tr>
      <w:tr w14:paraId="0C4A3BA0">
        <w:tblPrEx>
          <w:tblCellMar>
            <w:top w:w="0" w:type="dxa"/>
            <w:left w:w="108" w:type="dxa"/>
            <w:bottom w:w="0" w:type="dxa"/>
            <w:right w:w="108" w:type="dxa"/>
          </w:tblCellMar>
        </w:tblPrEx>
        <w:trPr>
          <w:trHeight w:val="991" w:hRule="atLeast"/>
          <w:jc w:val="center"/>
        </w:trPr>
        <w:tc>
          <w:tcPr>
            <w:tcW w:w="14575" w:type="dxa"/>
            <w:gridSpan w:val="6"/>
            <w:tcBorders>
              <w:top w:val="single" w:color="auto" w:sz="4" w:space="0"/>
              <w:left w:val="single" w:color="auto" w:sz="4" w:space="0"/>
              <w:bottom w:val="single" w:color="auto" w:sz="4" w:space="0"/>
              <w:right w:val="single" w:color="auto" w:sz="4" w:space="0"/>
            </w:tcBorders>
            <w:noWrap w:val="0"/>
            <w:vAlign w:val="center"/>
          </w:tcPr>
          <w:p w14:paraId="25EFD9FF">
            <w:pPr>
              <w:widowControl/>
              <w:ind w:firstLine="480" w:firstLineChars="200"/>
              <w:jc w:val="left"/>
              <w:rPr>
                <w:rFonts w:hint="eastAsia" w:ascii="仿宋_GB2312" w:hAnsi="等线" w:cs="宋体"/>
                <w:color w:val="000000"/>
                <w:kern w:val="0"/>
                <w:sz w:val="24"/>
              </w:rPr>
            </w:pPr>
            <w:r>
              <w:rPr>
                <w:rFonts w:hint="eastAsia" w:ascii="黑体" w:hAnsi="黑体" w:eastAsia="黑体" w:cs="宋体"/>
                <w:color w:val="000000"/>
                <w:kern w:val="0"/>
                <w:sz w:val="24"/>
              </w:rPr>
              <w:t>山东省新动能创业投资管理有限公司</w:t>
            </w:r>
            <w:r>
              <w:rPr>
                <w:rFonts w:hint="eastAsia" w:ascii="黑体" w:hAnsi="黑体" w:eastAsia="黑体" w:cs="宋体"/>
                <w:color w:val="000000"/>
                <w:kern w:val="0"/>
                <w:sz w:val="24"/>
                <w:lang w:val="en-US" w:eastAsia="zh-CN"/>
              </w:rPr>
              <w:t>是山东省新动能基金管理有限公司权属二级公司，</w:t>
            </w:r>
            <w:r>
              <w:rPr>
                <w:rFonts w:hint="eastAsia" w:ascii="黑体" w:hAnsi="黑体" w:eastAsia="黑体" w:cs="宋体"/>
                <w:color w:val="000000"/>
                <w:kern w:val="0"/>
                <w:sz w:val="24"/>
              </w:rPr>
              <w:t>主要负责政府引导基金中创业投资类基金管理运作，发挥天使基金、种子基金作用，落实耐心资本、长期资本职责，着力“投早、投小、投硬科技”，支持新质生产力发展。</w:t>
            </w:r>
          </w:p>
        </w:tc>
      </w:tr>
      <w:tr w14:paraId="3635E35E">
        <w:tblPrEx>
          <w:tblCellMar>
            <w:top w:w="0" w:type="dxa"/>
            <w:left w:w="108" w:type="dxa"/>
            <w:bottom w:w="0" w:type="dxa"/>
            <w:right w:w="108" w:type="dxa"/>
          </w:tblCellMar>
        </w:tblPrEx>
        <w:trPr>
          <w:trHeight w:val="2251"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51470469">
            <w:pPr>
              <w:widowControl/>
              <w:jc w:val="center"/>
              <w:rPr>
                <w:rFonts w:hint="eastAsia"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3</w:t>
            </w:r>
          </w:p>
        </w:tc>
        <w:tc>
          <w:tcPr>
            <w:tcW w:w="1627" w:type="dxa"/>
            <w:tcBorders>
              <w:top w:val="single" w:color="auto" w:sz="4" w:space="0"/>
              <w:left w:val="nil"/>
              <w:bottom w:val="single" w:color="auto" w:sz="4" w:space="0"/>
              <w:right w:val="single" w:color="auto" w:sz="4" w:space="0"/>
            </w:tcBorders>
            <w:noWrap w:val="0"/>
            <w:vAlign w:val="center"/>
          </w:tcPr>
          <w:p w14:paraId="7FA9A866">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lang w:val="en-US" w:eastAsia="zh-CN"/>
              </w:rPr>
              <w:t>基金投资</w:t>
            </w:r>
            <w:r>
              <w:rPr>
                <w:rFonts w:hint="eastAsia" w:ascii="仿宋_GB2312" w:hAnsi="等线" w:eastAsia="仿宋_GB2312" w:cs="宋体"/>
                <w:color w:val="000000"/>
                <w:kern w:val="0"/>
                <w:sz w:val="24"/>
              </w:rPr>
              <w:t>岗</w:t>
            </w:r>
          </w:p>
        </w:tc>
        <w:tc>
          <w:tcPr>
            <w:tcW w:w="580" w:type="dxa"/>
            <w:tcBorders>
              <w:top w:val="single" w:color="auto" w:sz="4" w:space="0"/>
              <w:left w:val="nil"/>
              <w:bottom w:val="single" w:color="auto" w:sz="4" w:space="0"/>
              <w:right w:val="single" w:color="auto" w:sz="4" w:space="0"/>
            </w:tcBorders>
            <w:noWrap w:val="0"/>
            <w:vAlign w:val="center"/>
          </w:tcPr>
          <w:p w14:paraId="6CB7C131">
            <w:pPr>
              <w:widowControl/>
              <w:jc w:val="center"/>
              <w:rPr>
                <w:rFonts w:hint="eastAsia" w:ascii="仿宋_GB2312" w:hAnsi="等线" w:eastAsia="仿宋_GB2312" w:cs="宋体"/>
                <w:color w:val="000000"/>
                <w:kern w:val="0"/>
                <w:sz w:val="24"/>
                <w:lang w:eastAsia="zh-CN"/>
              </w:rPr>
            </w:pPr>
            <w:r>
              <w:rPr>
                <w:rFonts w:hint="eastAsia" w:ascii="仿宋_GB2312" w:hAnsi="等线" w:eastAsia="仿宋_GB2312" w:cs="宋体"/>
                <w:color w:val="000000"/>
                <w:kern w:val="0"/>
                <w:sz w:val="24"/>
                <w:lang w:val="en-US" w:eastAsia="zh-CN"/>
              </w:rPr>
              <w:t>3</w:t>
            </w:r>
          </w:p>
        </w:tc>
        <w:tc>
          <w:tcPr>
            <w:tcW w:w="5260" w:type="dxa"/>
            <w:tcBorders>
              <w:top w:val="single" w:color="auto" w:sz="4" w:space="0"/>
              <w:left w:val="nil"/>
              <w:bottom w:val="single" w:color="auto" w:sz="4" w:space="0"/>
              <w:right w:val="single" w:color="auto" w:sz="4" w:space="0"/>
            </w:tcBorders>
            <w:noWrap w:val="0"/>
            <w:vAlign w:val="center"/>
          </w:tcPr>
          <w:p w14:paraId="45685150">
            <w:pPr>
              <w:widowControl/>
              <w:rPr>
                <w:rFonts w:hint="eastAsia" w:ascii="仿宋_GB2312" w:hAnsi="等线" w:eastAsia="仿宋_GB2312" w:cs="宋体"/>
                <w:color w:val="000000"/>
                <w:kern w:val="0"/>
                <w:sz w:val="24"/>
                <w:szCs w:val="22"/>
              </w:rPr>
            </w:pPr>
            <w:r>
              <w:rPr>
                <w:rFonts w:hint="eastAsia" w:ascii="仿宋_GB2312" w:hAnsi="等线" w:eastAsia="仿宋_GB2312" w:cs="宋体"/>
                <w:color w:val="000000"/>
                <w:kern w:val="0"/>
                <w:sz w:val="24"/>
                <w:szCs w:val="22"/>
              </w:rPr>
              <w:t>主要负责创投子基金及项目的投资与管理工作，具体包括行业研究、基金及项目投资架构设计、尽职调查，起草相关文件及投后管理等工作。</w:t>
            </w:r>
          </w:p>
        </w:tc>
        <w:tc>
          <w:tcPr>
            <w:tcW w:w="5780" w:type="dxa"/>
            <w:tcBorders>
              <w:top w:val="single" w:color="auto" w:sz="4" w:space="0"/>
              <w:left w:val="nil"/>
              <w:bottom w:val="single" w:color="auto" w:sz="4" w:space="0"/>
              <w:right w:val="single" w:color="auto" w:sz="4" w:space="0"/>
            </w:tcBorders>
            <w:noWrap w:val="0"/>
            <w:vAlign w:val="center"/>
          </w:tcPr>
          <w:p w14:paraId="025BF883">
            <w:pPr>
              <w:widowControl/>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w:t>
            </w:r>
            <w:r>
              <w:rPr>
                <w:rFonts w:hint="eastAsia" w:ascii="仿宋_GB2312" w:hAnsi="等线" w:eastAsia="仿宋_GB2312" w:cs="宋体"/>
                <w:color w:val="000000"/>
                <w:kern w:val="0"/>
                <w:sz w:val="24"/>
                <w:lang w:val="en-US" w:eastAsia="zh-CN"/>
              </w:rPr>
              <w:t>30</w:t>
            </w:r>
            <w:r>
              <w:rPr>
                <w:rFonts w:hint="eastAsia" w:ascii="仿宋_GB2312" w:hAnsi="等线" w:eastAsia="仿宋_GB2312" w:cs="宋体"/>
                <w:color w:val="000000"/>
                <w:kern w:val="0"/>
                <w:sz w:val="24"/>
              </w:rPr>
              <w:t>周岁及以下，硕士研究生及以上学历，</w:t>
            </w:r>
            <w:r>
              <w:rPr>
                <w:rFonts w:hint="eastAsia" w:ascii="仿宋_GB2312" w:hAnsi="等线" w:eastAsia="仿宋_GB2312" w:cs="宋体"/>
                <w:color w:val="000000"/>
                <w:kern w:val="0"/>
                <w:sz w:val="24"/>
                <w:lang w:val="en-US" w:eastAsia="zh-CN"/>
              </w:rPr>
              <w:t>材料科学与工程、信息与通信工程、控制科学与工程、计算机科学与技术、航空宇航科学与技术、生物与医药、集成电路科学与工程</w:t>
            </w:r>
            <w:r>
              <w:rPr>
                <w:rFonts w:hint="eastAsia" w:ascii="仿宋_GB2312" w:hAnsi="等线" w:eastAsia="仿宋_GB2312" w:cs="宋体"/>
                <w:color w:val="000000"/>
                <w:kern w:val="0"/>
                <w:sz w:val="24"/>
              </w:rPr>
              <w:t>等</w:t>
            </w:r>
            <w:r>
              <w:rPr>
                <w:rFonts w:hint="eastAsia" w:ascii="仿宋_GB2312" w:hAnsi="等线" w:eastAsia="仿宋_GB2312" w:cs="宋体"/>
                <w:color w:val="000000"/>
                <w:kern w:val="0"/>
                <w:sz w:val="24"/>
                <w:lang w:val="en-US" w:eastAsia="zh-CN"/>
              </w:rPr>
              <w:t>工学</w:t>
            </w:r>
            <w:r>
              <w:rPr>
                <w:rFonts w:hint="eastAsia" w:ascii="仿宋_GB2312" w:hAnsi="等线" w:eastAsia="仿宋_GB2312" w:cs="宋体"/>
                <w:color w:val="000000"/>
                <w:kern w:val="0"/>
                <w:sz w:val="24"/>
              </w:rPr>
              <w:t>类相关专业。</w:t>
            </w:r>
          </w:p>
          <w:p w14:paraId="6DD5CD6B">
            <w:pPr>
              <w:widowControl/>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2.2026年应届毕业生（含择业期内毕业生）。</w:t>
            </w:r>
          </w:p>
          <w:p w14:paraId="43A225D4">
            <w:pPr>
              <w:widowControl/>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3.具有良好的职业操守，担当实干，团结合作意识和奉献精神强。</w:t>
            </w:r>
          </w:p>
        </w:tc>
        <w:tc>
          <w:tcPr>
            <w:tcW w:w="760" w:type="dxa"/>
            <w:tcBorders>
              <w:top w:val="single" w:color="auto" w:sz="4" w:space="0"/>
              <w:left w:val="nil"/>
              <w:bottom w:val="single" w:color="auto" w:sz="4" w:space="0"/>
              <w:right w:val="single" w:color="auto" w:sz="4" w:space="0"/>
            </w:tcBorders>
            <w:noWrap/>
            <w:vAlign w:val="center"/>
          </w:tcPr>
          <w:p w14:paraId="5C2C7080">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济南</w:t>
            </w:r>
          </w:p>
        </w:tc>
      </w:tr>
    </w:tbl>
    <w:p w14:paraId="3E188B5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55F10"/>
    <w:rsid w:val="010B7E83"/>
    <w:rsid w:val="01596A08"/>
    <w:rsid w:val="016D0BA6"/>
    <w:rsid w:val="01B874F3"/>
    <w:rsid w:val="01C5457A"/>
    <w:rsid w:val="02DE3395"/>
    <w:rsid w:val="03812C47"/>
    <w:rsid w:val="03B22144"/>
    <w:rsid w:val="0403488E"/>
    <w:rsid w:val="048A2844"/>
    <w:rsid w:val="04952A2F"/>
    <w:rsid w:val="04D02404"/>
    <w:rsid w:val="054353C8"/>
    <w:rsid w:val="055C7BB8"/>
    <w:rsid w:val="05A45581"/>
    <w:rsid w:val="07105476"/>
    <w:rsid w:val="080F599C"/>
    <w:rsid w:val="08C15097"/>
    <w:rsid w:val="09C12FA1"/>
    <w:rsid w:val="09DE3B9B"/>
    <w:rsid w:val="09E63723"/>
    <w:rsid w:val="0B2D2E11"/>
    <w:rsid w:val="0BF5319F"/>
    <w:rsid w:val="0C366E88"/>
    <w:rsid w:val="0C4F29C7"/>
    <w:rsid w:val="0C612803"/>
    <w:rsid w:val="0D1C6B5F"/>
    <w:rsid w:val="0D311D46"/>
    <w:rsid w:val="0D8C0478"/>
    <w:rsid w:val="0DD275D2"/>
    <w:rsid w:val="0E184603"/>
    <w:rsid w:val="0FC654BB"/>
    <w:rsid w:val="107677E4"/>
    <w:rsid w:val="1114504A"/>
    <w:rsid w:val="116F7F85"/>
    <w:rsid w:val="11D128BC"/>
    <w:rsid w:val="11FF0617"/>
    <w:rsid w:val="1298013A"/>
    <w:rsid w:val="13B170C2"/>
    <w:rsid w:val="147A3C8C"/>
    <w:rsid w:val="147E7288"/>
    <w:rsid w:val="160664E5"/>
    <w:rsid w:val="16264D73"/>
    <w:rsid w:val="16285619"/>
    <w:rsid w:val="16A462A2"/>
    <w:rsid w:val="17D8325F"/>
    <w:rsid w:val="19790BFF"/>
    <w:rsid w:val="19D52BEC"/>
    <w:rsid w:val="19F81942"/>
    <w:rsid w:val="1A152231"/>
    <w:rsid w:val="1A3D31AE"/>
    <w:rsid w:val="1A721917"/>
    <w:rsid w:val="1B074852"/>
    <w:rsid w:val="1C182801"/>
    <w:rsid w:val="1C285462"/>
    <w:rsid w:val="1C667390"/>
    <w:rsid w:val="1C673D41"/>
    <w:rsid w:val="1DDA3107"/>
    <w:rsid w:val="1DE046F7"/>
    <w:rsid w:val="1E4A3B43"/>
    <w:rsid w:val="1E756995"/>
    <w:rsid w:val="1EA149D0"/>
    <w:rsid w:val="1FD14418"/>
    <w:rsid w:val="20000BAF"/>
    <w:rsid w:val="20AA7739"/>
    <w:rsid w:val="20CD7385"/>
    <w:rsid w:val="21E323AC"/>
    <w:rsid w:val="22A270ED"/>
    <w:rsid w:val="22E976D7"/>
    <w:rsid w:val="230D251D"/>
    <w:rsid w:val="23502B33"/>
    <w:rsid w:val="23533E92"/>
    <w:rsid w:val="239A5050"/>
    <w:rsid w:val="23C95E15"/>
    <w:rsid w:val="2456796B"/>
    <w:rsid w:val="24F548E7"/>
    <w:rsid w:val="255101F0"/>
    <w:rsid w:val="25BD55E9"/>
    <w:rsid w:val="25C12E5C"/>
    <w:rsid w:val="26420CB6"/>
    <w:rsid w:val="26B56A22"/>
    <w:rsid w:val="26DF4FE8"/>
    <w:rsid w:val="273D621C"/>
    <w:rsid w:val="277D4DA0"/>
    <w:rsid w:val="283B0847"/>
    <w:rsid w:val="283C32FE"/>
    <w:rsid w:val="2A9F0E51"/>
    <w:rsid w:val="2BB973A1"/>
    <w:rsid w:val="2CDB05D8"/>
    <w:rsid w:val="2CF62202"/>
    <w:rsid w:val="2D817FDC"/>
    <w:rsid w:val="2F3256A0"/>
    <w:rsid w:val="2F622808"/>
    <w:rsid w:val="2F9C2E7E"/>
    <w:rsid w:val="2FD509CC"/>
    <w:rsid w:val="309F354A"/>
    <w:rsid w:val="31B331EE"/>
    <w:rsid w:val="32137404"/>
    <w:rsid w:val="33404C40"/>
    <w:rsid w:val="335D086C"/>
    <w:rsid w:val="33E531CB"/>
    <w:rsid w:val="33EB4C12"/>
    <w:rsid w:val="33EE34D5"/>
    <w:rsid w:val="33F65861"/>
    <w:rsid w:val="34185B33"/>
    <w:rsid w:val="35BD1665"/>
    <w:rsid w:val="35D36E34"/>
    <w:rsid w:val="36787103"/>
    <w:rsid w:val="37376437"/>
    <w:rsid w:val="38EF5EBD"/>
    <w:rsid w:val="392A385B"/>
    <w:rsid w:val="394C0A9E"/>
    <w:rsid w:val="397C1774"/>
    <w:rsid w:val="3CF2611A"/>
    <w:rsid w:val="3D2239E6"/>
    <w:rsid w:val="3DB30289"/>
    <w:rsid w:val="3E5871D4"/>
    <w:rsid w:val="3F524C15"/>
    <w:rsid w:val="4165209C"/>
    <w:rsid w:val="41B822A2"/>
    <w:rsid w:val="41F42456"/>
    <w:rsid w:val="42402EC4"/>
    <w:rsid w:val="4332759A"/>
    <w:rsid w:val="44214813"/>
    <w:rsid w:val="44A82942"/>
    <w:rsid w:val="4590616B"/>
    <w:rsid w:val="45BD632F"/>
    <w:rsid w:val="460957DE"/>
    <w:rsid w:val="484160A9"/>
    <w:rsid w:val="48C64990"/>
    <w:rsid w:val="490D3E12"/>
    <w:rsid w:val="49695C0A"/>
    <w:rsid w:val="4AB31F0A"/>
    <w:rsid w:val="4ACD704C"/>
    <w:rsid w:val="4B4B0335"/>
    <w:rsid w:val="4B6501A4"/>
    <w:rsid w:val="4C341F89"/>
    <w:rsid w:val="4C35566F"/>
    <w:rsid w:val="4CDA61E8"/>
    <w:rsid w:val="4CDC71D8"/>
    <w:rsid w:val="4D995022"/>
    <w:rsid w:val="4DCA4186"/>
    <w:rsid w:val="4E3827FA"/>
    <w:rsid w:val="4F877D78"/>
    <w:rsid w:val="506C6214"/>
    <w:rsid w:val="50A6550A"/>
    <w:rsid w:val="50E40D52"/>
    <w:rsid w:val="51116EE0"/>
    <w:rsid w:val="51A75E1E"/>
    <w:rsid w:val="522D5C35"/>
    <w:rsid w:val="525E5358"/>
    <w:rsid w:val="52655F7A"/>
    <w:rsid w:val="52AA1B81"/>
    <w:rsid w:val="54251A0D"/>
    <w:rsid w:val="544D1EBD"/>
    <w:rsid w:val="54CD15E6"/>
    <w:rsid w:val="54D62FEA"/>
    <w:rsid w:val="54E4378F"/>
    <w:rsid w:val="550B0101"/>
    <w:rsid w:val="551F66B0"/>
    <w:rsid w:val="55E60159"/>
    <w:rsid w:val="564D139D"/>
    <w:rsid w:val="567A17D3"/>
    <w:rsid w:val="56EA1139"/>
    <w:rsid w:val="57885DE5"/>
    <w:rsid w:val="57CA6203"/>
    <w:rsid w:val="589678B9"/>
    <w:rsid w:val="58BC09FC"/>
    <w:rsid w:val="590C36EA"/>
    <w:rsid w:val="591877B5"/>
    <w:rsid w:val="59E95062"/>
    <w:rsid w:val="5A1F0043"/>
    <w:rsid w:val="5B2D0A69"/>
    <w:rsid w:val="5B61416C"/>
    <w:rsid w:val="5BAC2D4D"/>
    <w:rsid w:val="5CC257E2"/>
    <w:rsid w:val="5CDE0D06"/>
    <w:rsid w:val="5D227D6C"/>
    <w:rsid w:val="5D65767F"/>
    <w:rsid w:val="5D9155EA"/>
    <w:rsid w:val="5DA67983"/>
    <w:rsid w:val="5E1A21C6"/>
    <w:rsid w:val="5EAB4E29"/>
    <w:rsid w:val="5EE1123C"/>
    <w:rsid w:val="5F233924"/>
    <w:rsid w:val="5F344FC1"/>
    <w:rsid w:val="5F8A20F9"/>
    <w:rsid w:val="60A038C3"/>
    <w:rsid w:val="616E7723"/>
    <w:rsid w:val="61AD6A02"/>
    <w:rsid w:val="626C1D17"/>
    <w:rsid w:val="62E6523E"/>
    <w:rsid w:val="62F2422D"/>
    <w:rsid w:val="631B094F"/>
    <w:rsid w:val="63390649"/>
    <w:rsid w:val="63BE6A3E"/>
    <w:rsid w:val="6419482E"/>
    <w:rsid w:val="65DA4B55"/>
    <w:rsid w:val="65E33C47"/>
    <w:rsid w:val="663624F3"/>
    <w:rsid w:val="66D87CDB"/>
    <w:rsid w:val="67507A5A"/>
    <w:rsid w:val="6888589B"/>
    <w:rsid w:val="68891D11"/>
    <w:rsid w:val="68AF46FA"/>
    <w:rsid w:val="691853F0"/>
    <w:rsid w:val="6A200FD7"/>
    <w:rsid w:val="6A4A4247"/>
    <w:rsid w:val="6A4F546E"/>
    <w:rsid w:val="6AEC3521"/>
    <w:rsid w:val="6B3F4C0A"/>
    <w:rsid w:val="6B552630"/>
    <w:rsid w:val="6BF55C5E"/>
    <w:rsid w:val="6C221A65"/>
    <w:rsid w:val="6C257D00"/>
    <w:rsid w:val="6CDB5944"/>
    <w:rsid w:val="6CE277C8"/>
    <w:rsid w:val="6ECA00A7"/>
    <w:rsid w:val="6F11275F"/>
    <w:rsid w:val="702042F5"/>
    <w:rsid w:val="70C82AFB"/>
    <w:rsid w:val="72354FDF"/>
    <w:rsid w:val="723E1C31"/>
    <w:rsid w:val="727E0D98"/>
    <w:rsid w:val="735444D8"/>
    <w:rsid w:val="743167C3"/>
    <w:rsid w:val="748D2C7D"/>
    <w:rsid w:val="75425A39"/>
    <w:rsid w:val="754E29CB"/>
    <w:rsid w:val="75B56298"/>
    <w:rsid w:val="75BD3312"/>
    <w:rsid w:val="764F3B26"/>
    <w:rsid w:val="76781A98"/>
    <w:rsid w:val="768309BA"/>
    <w:rsid w:val="76E714CC"/>
    <w:rsid w:val="775D4F6E"/>
    <w:rsid w:val="776F58DB"/>
    <w:rsid w:val="77E37E9F"/>
    <w:rsid w:val="79207DC9"/>
    <w:rsid w:val="79871CDD"/>
    <w:rsid w:val="7A29071A"/>
    <w:rsid w:val="7BCB45CA"/>
    <w:rsid w:val="7C0034B2"/>
    <w:rsid w:val="7C4B6763"/>
    <w:rsid w:val="7C504DF2"/>
    <w:rsid w:val="7CC82EA5"/>
    <w:rsid w:val="7D7B28A8"/>
    <w:rsid w:val="7D8575B0"/>
    <w:rsid w:val="7E3D538A"/>
    <w:rsid w:val="7E9D4777"/>
    <w:rsid w:val="7EA466F1"/>
    <w:rsid w:val="7EC41157"/>
    <w:rsid w:val="7F253F27"/>
    <w:rsid w:val="7F5071B9"/>
    <w:rsid w:val="7F873EEE"/>
    <w:rsid w:val="7FB64C19"/>
    <w:rsid w:val="7FDB1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953</Words>
  <Characters>983</Characters>
  <Lines>0</Lines>
  <Paragraphs>0</Paragraphs>
  <TotalTime>0</TotalTime>
  <ScaleCrop>false</ScaleCrop>
  <LinksUpToDate>false</LinksUpToDate>
  <CharactersWithSpaces>988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2026-01-28T08:44:00Z</dcterms:created>
  <dc:creator>Administrator</dc:creator>
  <cp:lastModifiedBy>付贵刚</cp:lastModifiedBy>
  <dcterms:modified xsi:type="dcterms:W3CDTF">2026-03-13T09:04:45Z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E059A896DD584F67812D7CE6A6E41FF5_13</vt:lpwstr>
  </property>
  <property fmtid="{D5CDD505-2E9C-101B-9397-08002B2CF9AE}" pid="4" name="KSOTemplateDocerSaveRecord">
    <vt:lpwstr>eyJoZGlkIjoiNzU4YjQwZmUzY2U0YzgyOGI3YTZmZGVlNWQ2MWJjOTkiLCJ1c2VySWQiOiIxNDc5MTE3NzU2In0=</vt:lpwstr>
  </property>
</Properties>
</file>